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F2" w:rsidRDefault="008B38F2" w:rsidP="00184CC8"/>
    <w:p w:rsidR="008B38F2" w:rsidRDefault="008B38F2" w:rsidP="008B38F2">
      <w:pPr>
        <w:jc w:val="center"/>
      </w:pPr>
      <w:r>
        <w:rPr>
          <w:noProof/>
          <w:lang w:eastAsia="lt-LT"/>
        </w:rPr>
        <w:drawing>
          <wp:inline distT="0" distB="0" distL="0" distR="0" wp14:anchorId="07F6C86A" wp14:editId="21734C26">
            <wp:extent cx="609600" cy="581025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F2" w:rsidRDefault="008B38F2" w:rsidP="008B38F2"/>
    <w:p w:rsidR="008B38F2" w:rsidRDefault="008B38F2" w:rsidP="008B38F2">
      <w:pPr>
        <w:pStyle w:val="Antrat1"/>
        <w:rPr>
          <w:b/>
          <w:bCs/>
        </w:rPr>
      </w:pPr>
      <w:r>
        <w:rPr>
          <w:b/>
          <w:bCs/>
        </w:rPr>
        <w:t>VILNIAUS PILAITĖS GIMNAZIJOS</w:t>
      </w:r>
    </w:p>
    <w:p w:rsidR="008B38F2" w:rsidRDefault="008B38F2" w:rsidP="008B38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DIREKTORIUS</w:t>
      </w:r>
    </w:p>
    <w:p w:rsidR="008B38F2" w:rsidRDefault="008B38F2" w:rsidP="008B38F2">
      <w:pPr>
        <w:jc w:val="center"/>
        <w:rPr>
          <w:b/>
          <w:bCs/>
          <w:sz w:val="28"/>
        </w:rPr>
      </w:pPr>
    </w:p>
    <w:p w:rsidR="008B38F2" w:rsidRDefault="008B38F2" w:rsidP="008B38F2">
      <w:pPr>
        <w:jc w:val="center"/>
        <w:rPr>
          <w:b/>
          <w:bCs/>
          <w:sz w:val="28"/>
        </w:rPr>
      </w:pPr>
    </w:p>
    <w:p w:rsidR="008B38F2" w:rsidRDefault="008B38F2" w:rsidP="008B38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ĮSAKYMAS</w:t>
      </w:r>
    </w:p>
    <w:p w:rsidR="008B38F2" w:rsidRDefault="008B38F2" w:rsidP="008B38F2">
      <w:pPr>
        <w:pStyle w:val="Default"/>
        <w:jc w:val="center"/>
        <w:rPr>
          <w:sz w:val="28"/>
          <w:szCs w:val="28"/>
        </w:rPr>
      </w:pPr>
      <w:r w:rsidRPr="00F116FE">
        <w:rPr>
          <w:sz w:val="28"/>
          <w:szCs w:val="28"/>
        </w:rPr>
        <w:t xml:space="preserve">DĖL </w:t>
      </w:r>
      <w:r w:rsidRPr="00F116FE">
        <w:rPr>
          <w:bCs/>
          <w:color w:val="auto"/>
          <w:sz w:val="28"/>
          <w:szCs w:val="28"/>
        </w:rPr>
        <w:t xml:space="preserve">GIMNAZIJOS MOKINIŲ PAŽANGOS IR PASIEKIMŲ </w:t>
      </w:r>
      <w:r w:rsidRPr="00F116FE">
        <w:rPr>
          <w:bCs/>
          <w:sz w:val="28"/>
          <w:szCs w:val="28"/>
        </w:rPr>
        <w:t>VERTINIMO TVARKOS APRAŠ</w:t>
      </w:r>
      <w:r>
        <w:rPr>
          <w:bCs/>
          <w:sz w:val="28"/>
          <w:szCs w:val="28"/>
        </w:rPr>
        <w:t xml:space="preserve">O </w:t>
      </w:r>
      <w:r w:rsidRPr="00F116FE">
        <w:rPr>
          <w:sz w:val="28"/>
          <w:szCs w:val="28"/>
        </w:rPr>
        <w:t>PAKEITIMO</w:t>
      </w:r>
    </w:p>
    <w:p w:rsidR="008B38F2" w:rsidRPr="00F116FE" w:rsidRDefault="008B38F2" w:rsidP="008B38F2">
      <w:pPr>
        <w:pStyle w:val="Default"/>
        <w:jc w:val="center"/>
        <w:rPr>
          <w:bCs/>
          <w:color w:val="auto"/>
          <w:sz w:val="28"/>
          <w:szCs w:val="28"/>
        </w:rPr>
      </w:pPr>
    </w:p>
    <w:p w:rsidR="008B38F2" w:rsidRPr="00662FD5" w:rsidRDefault="008B38F2" w:rsidP="008B38F2">
      <w:pPr>
        <w:jc w:val="center"/>
      </w:pPr>
      <w:r w:rsidRPr="00662FD5">
        <w:t xml:space="preserve">2016 m. gegužės </w:t>
      </w:r>
      <w:r>
        <w:t>31</w:t>
      </w:r>
      <w:r w:rsidRPr="00662FD5">
        <w:rPr>
          <w:lang w:val="pt-BR"/>
        </w:rPr>
        <w:t xml:space="preserve"> </w:t>
      </w:r>
      <w:r w:rsidRPr="00662FD5">
        <w:t>d. Nr. V-</w:t>
      </w:r>
      <w:r>
        <w:t>111</w:t>
      </w:r>
    </w:p>
    <w:p w:rsidR="008B38F2" w:rsidRPr="00662FD5" w:rsidRDefault="008B38F2" w:rsidP="008B38F2">
      <w:pPr>
        <w:jc w:val="center"/>
      </w:pPr>
      <w:r w:rsidRPr="00662FD5">
        <w:t>Vilnius</w:t>
      </w:r>
    </w:p>
    <w:p w:rsidR="008B38F2" w:rsidRDefault="008B38F2" w:rsidP="008B38F2"/>
    <w:p w:rsidR="008B38F2" w:rsidRDefault="008B38F2" w:rsidP="008B38F2"/>
    <w:p w:rsidR="008B38F2" w:rsidRDefault="008B38F2" w:rsidP="008B38F2"/>
    <w:p w:rsidR="008B38F2" w:rsidRDefault="008B38F2" w:rsidP="008B38F2">
      <w:pPr>
        <w:pStyle w:val="Default"/>
        <w:spacing w:line="360" w:lineRule="auto"/>
        <w:ind w:firstLine="567"/>
      </w:pPr>
      <w:proofErr w:type="spellStart"/>
      <w:r>
        <w:t>Vadovaudamasis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metodin</w:t>
      </w:r>
      <w:proofErr w:type="spellEnd"/>
      <w:r>
        <w:rPr>
          <w:lang w:val="lt-LT"/>
        </w:rPr>
        <w:t xml:space="preserve">ės </w:t>
      </w:r>
      <w:proofErr w:type="spellStart"/>
      <w:r>
        <w:t>tarybos</w:t>
      </w:r>
      <w:proofErr w:type="spellEnd"/>
      <w:r>
        <w:t xml:space="preserve"> </w:t>
      </w:r>
      <w:r w:rsidRPr="00666278">
        <w:rPr>
          <w:color w:val="auto"/>
        </w:rPr>
        <w:t xml:space="preserve">2016 m. </w:t>
      </w:r>
      <w:proofErr w:type="spellStart"/>
      <w:r w:rsidRPr="00666278">
        <w:rPr>
          <w:color w:val="auto"/>
        </w:rPr>
        <w:t>gegu</w:t>
      </w:r>
      <w:r w:rsidRPr="00666278">
        <w:rPr>
          <w:color w:val="auto"/>
          <w:lang w:val="lt-LT"/>
        </w:rPr>
        <w:t>žės</w:t>
      </w:r>
      <w:proofErr w:type="spellEnd"/>
      <w:r w:rsidRPr="00666278">
        <w:rPr>
          <w:color w:val="auto"/>
        </w:rPr>
        <w:t xml:space="preserve"> 31 d. </w:t>
      </w:r>
      <w:proofErr w:type="spellStart"/>
      <w:r w:rsidRPr="00666278">
        <w:rPr>
          <w:color w:val="auto"/>
        </w:rPr>
        <w:t>protokolo</w:t>
      </w:r>
      <w:proofErr w:type="spellEnd"/>
      <w:r w:rsidRPr="00666278">
        <w:rPr>
          <w:color w:val="auto"/>
        </w:rPr>
        <w:t xml:space="preserve"> </w:t>
      </w:r>
      <w:proofErr w:type="spellStart"/>
      <w:r w:rsidRPr="00666278">
        <w:rPr>
          <w:color w:val="auto"/>
        </w:rPr>
        <w:t>Nr</w:t>
      </w:r>
      <w:proofErr w:type="spellEnd"/>
      <w:r w:rsidRPr="00666278">
        <w:rPr>
          <w:color w:val="auto"/>
        </w:rPr>
        <w:t xml:space="preserve">. 3 </w:t>
      </w:r>
      <w:proofErr w:type="spellStart"/>
      <w:r>
        <w:t>sprendimu</w:t>
      </w:r>
      <w:proofErr w:type="spellEnd"/>
      <w:r>
        <w:t>,</w:t>
      </w:r>
    </w:p>
    <w:p w:rsidR="008B38F2" w:rsidRPr="00662FD5" w:rsidRDefault="008B38F2" w:rsidP="008B38F2">
      <w:pPr>
        <w:spacing w:line="360" w:lineRule="auto"/>
        <w:ind w:firstLine="567"/>
        <w:jc w:val="both"/>
      </w:pPr>
      <w:r w:rsidRPr="001C086E">
        <w:t>k e i č i u</w:t>
      </w:r>
      <w:r>
        <w:t xml:space="preserve">: </w:t>
      </w:r>
      <w:r w:rsidRPr="001C086E">
        <w:t xml:space="preserve">Vilniaus Pilaitės gimnazijos </w:t>
      </w:r>
      <w:r>
        <w:t>mokinių pažangos ir pasiekimų vertinimo tvarkos aprašo, patvirtinto</w:t>
      </w:r>
      <w:r w:rsidRPr="001C086E">
        <w:t xml:space="preserve"> </w:t>
      </w:r>
      <w:r>
        <w:t>2014</w:t>
      </w:r>
      <w:r w:rsidRPr="001C086E">
        <w:t xml:space="preserve"> metų  </w:t>
      </w:r>
      <w:r>
        <w:t xml:space="preserve">sausio </w:t>
      </w:r>
      <w:r w:rsidRPr="001C086E">
        <w:t>3</w:t>
      </w:r>
      <w:r>
        <w:t>1</w:t>
      </w:r>
      <w:r w:rsidRPr="001C086E">
        <w:t xml:space="preserve"> d. direktoriaus įsak. Nr. </w:t>
      </w:r>
      <w:r>
        <w:t>V-29</w:t>
      </w:r>
      <w:r w:rsidRPr="001C086E">
        <w:t xml:space="preserve">,  </w:t>
      </w:r>
      <w:r>
        <w:t xml:space="preserve">V </w:t>
      </w:r>
      <w:r w:rsidRPr="001C086E">
        <w:t>skyrių  ,,</w:t>
      </w:r>
      <w:r>
        <w:t>Vertinimas baigus programą</w:t>
      </w:r>
      <w:r w:rsidRPr="001C086E">
        <w:t xml:space="preserve">“. </w:t>
      </w:r>
      <w:r>
        <w:t>35</w:t>
      </w:r>
      <w:r w:rsidRPr="001C086E">
        <w:t xml:space="preserve"> punktą skaityti: ,,</w:t>
      </w:r>
      <w:r>
        <w:rPr>
          <w:color w:val="000000"/>
          <w:lang w:val="en-US"/>
        </w:rPr>
        <w:t xml:space="preserve">35. </w:t>
      </w:r>
      <w:proofErr w:type="spellStart"/>
      <w:proofErr w:type="gramStart"/>
      <w:r>
        <w:rPr>
          <w:color w:val="000000"/>
          <w:lang w:val="en-US"/>
        </w:rPr>
        <w:t>Pusmečio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metiniai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pažymiai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mokiniams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nevisada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vedami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pagal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aritmetinį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vidurkį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Stebima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kiekvieno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mokinio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pažanga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metodinių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grupių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vertinimo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priedai</w:t>
      </w:r>
      <w:proofErr w:type="spellEnd"/>
      <w:r>
        <w:rPr>
          <w:color w:val="000000"/>
          <w:lang w:val="en-US"/>
        </w:rPr>
        <w:t>).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Negali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būti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išvestas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patenkinamas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metinis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įvertinimas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jei</w:t>
      </w:r>
      <w:proofErr w:type="spellEnd"/>
      <w:r>
        <w:rPr>
          <w:color w:val="000000"/>
          <w:lang w:val="en-US"/>
        </w:rPr>
        <w:t xml:space="preserve"> bent </w:t>
      </w:r>
      <w:proofErr w:type="spellStart"/>
      <w:r>
        <w:rPr>
          <w:color w:val="000000"/>
          <w:lang w:val="en-US"/>
        </w:rPr>
        <w:t>vieną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pusmetį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mokinys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buvo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neatestuotas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arba</w:t>
      </w:r>
      <w:proofErr w:type="spellEnd"/>
      <w:r>
        <w:rPr>
          <w:color w:val="000000"/>
          <w:lang w:val="en-US"/>
        </w:rPr>
        <w:t xml:space="preserve"> II </w:t>
      </w:r>
      <w:proofErr w:type="spellStart"/>
      <w:r>
        <w:rPr>
          <w:color w:val="000000"/>
          <w:lang w:val="en-US"/>
        </w:rPr>
        <w:t>pusmetyje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turėjo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nepatenkinamą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įvertinimą</w:t>
      </w:r>
      <w:proofErr w:type="spellEnd"/>
      <w:r>
        <w:rPr>
          <w:b/>
          <w:bCs/>
          <w:color w:val="000000"/>
          <w:lang w:val="en-US"/>
        </w:rPr>
        <w:t xml:space="preserve">. </w:t>
      </w:r>
    </w:p>
    <w:p w:rsidR="008B38F2" w:rsidRPr="00B42F43" w:rsidRDefault="008B38F2" w:rsidP="008B38F2">
      <w:pPr>
        <w:ind w:firstLine="1296"/>
        <w:rPr>
          <w:b/>
          <w:bCs/>
        </w:rPr>
      </w:pPr>
      <w:proofErr w:type="spellStart"/>
      <w:r w:rsidRPr="00B42F43">
        <w:rPr>
          <w:b/>
          <w:bCs/>
          <w:lang w:val="en-US"/>
        </w:rPr>
        <w:t>Vertinama</w:t>
      </w:r>
      <w:proofErr w:type="spellEnd"/>
      <w:r w:rsidRPr="00B42F43">
        <w:rPr>
          <w:b/>
          <w:bCs/>
          <w:lang w:val="en-US"/>
        </w:rPr>
        <w:t xml:space="preserve"> pa</w:t>
      </w:r>
      <w:r w:rsidRPr="00B42F43">
        <w:rPr>
          <w:b/>
          <w:bCs/>
        </w:rPr>
        <w:t>žymiu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564"/>
        <w:gridCol w:w="1363"/>
        <w:gridCol w:w="1581"/>
        <w:gridCol w:w="1927"/>
        <w:gridCol w:w="1577"/>
      </w:tblGrid>
      <w:tr w:rsidR="008B38F2" w:rsidRPr="00B42F43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Pr="00B42F43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 w:rsidRPr="00B42F43">
              <w:rPr>
                <w:color w:val="auto"/>
              </w:rPr>
              <w:t xml:space="preserve">I </w:t>
            </w:r>
            <w:proofErr w:type="spellStart"/>
            <w:r w:rsidRPr="00B42F43">
              <w:rPr>
                <w:color w:val="auto"/>
              </w:rPr>
              <w:t>pusmetis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Pr="00B42F43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 w:rsidRPr="00B42F43">
              <w:rPr>
                <w:color w:val="auto"/>
              </w:rPr>
              <w:t xml:space="preserve">II </w:t>
            </w:r>
            <w:proofErr w:type="spellStart"/>
            <w:r w:rsidRPr="00B42F43">
              <w:rPr>
                <w:color w:val="auto"/>
              </w:rPr>
              <w:t>pusmetis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Pr="00B42F43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spellStart"/>
            <w:r w:rsidRPr="00B42F43">
              <w:rPr>
                <w:color w:val="auto"/>
              </w:rPr>
              <w:t>Metinis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Pr="00B42F43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spellStart"/>
            <w:r w:rsidRPr="00B42F43">
              <w:rPr>
                <w:color w:val="auto"/>
              </w:rPr>
              <w:t>Papildomas</w:t>
            </w:r>
            <w:proofErr w:type="spellEnd"/>
            <w:r w:rsidRPr="00B42F43">
              <w:rPr>
                <w:color w:val="auto"/>
              </w:rPr>
              <w:t xml:space="preserve"> </w:t>
            </w:r>
            <w:proofErr w:type="spellStart"/>
            <w:r w:rsidRPr="00B42F43">
              <w:rPr>
                <w:color w:val="auto"/>
              </w:rPr>
              <w:t>darbas-metinis</w:t>
            </w:r>
            <w:proofErr w:type="spellEnd"/>
            <w:r w:rsidRPr="00B42F43">
              <w:rPr>
                <w:color w:val="auto"/>
              </w:rPr>
              <w:t xml:space="preserve"> </w:t>
            </w:r>
            <w:proofErr w:type="spellStart"/>
            <w:r w:rsidRPr="00B42F43">
              <w:rPr>
                <w:color w:val="auto"/>
              </w:rPr>
              <w:t>pažymys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Pr="00B42F43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spellStart"/>
            <w:r w:rsidRPr="00B42F43">
              <w:rPr>
                <w:color w:val="auto"/>
              </w:rPr>
              <w:t>Atsiskaitymas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Pr="00B42F43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spellStart"/>
            <w:r w:rsidRPr="00B42F43">
              <w:rPr>
                <w:color w:val="auto"/>
              </w:rPr>
              <w:t>Metinis</w:t>
            </w:r>
            <w:proofErr w:type="spellEnd"/>
            <w:r w:rsidRPr="00B42F43">
              <w:rPr>
                <w:color w:val="auto"/>
              </w:rPr>
              <w:t xml:space="preserve"> (</w:t>
            </w:r>
            <w:proofErr w:type="spellStart"/>
            <w:r w:rsidRPr="00B42F43">
              <w:rPr>
                <w:color w:val="auto"/>
              </w:rPr>
              <w:t>vidurkis</w:t>
            </w:r>
            <w:proofErr w:type="spellEnd"/>
            <w:r w:rsidRPr="00B42F43">
              <w:rPr>
                <w:color w:val="auto"/>
              </w:rPr>
              <w:t>)</w:t>
            </w:r>
          </w:p>
        </w:tc>
      </w:tr>
      <w:tr w:rsidR="008B38F2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</w:tr>
      <w:tr w:rsidR="008B38F2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</w:tr>
      <w:tr w:rsidR="008B38F2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</w:tr>
      <w:tr w:rsidR="008B38F2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</w:tr>
      <w:tr w:rsidR="008B38F2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gramStart"/>
            <w:r>
              <w:rPr>
                <w:color w:val="auto"/>
              </w:rPr>
              <w:t>neat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gramStart"/>
            <w:r>
              <w:rPr>
                <w:color w:val="auto"/>
              </w:rPr>
              <w:t>neat</w:t>
            </w:r>
            <w:proofErr w:type="gramEnd"/>
            <w:r>
              <w:rPr>
                <w:color w:val="auto"/>
              </w:rPr>
              <w:t>. (</w:t>
            </w:r>
            <w:proofErr w:type="spellStart"/>
            <w:r>
              <w:rPr>
                <w:color w:val="auto"/>
              </w:rPr>
              <w:t>pažymys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nevedamas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spellStart"/>
            <w:r>
              <w:rPr>
                <w:color w:val="auto"/>
              </w:rPr>
              <w:t>atsiskaitoma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pažymiui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už</w:t>
            </w:r>
            <w:proofErr w:type="spellEnd"/>
            <w:r>
              <w:rPr>
                <w:color w:val="auto"/>
              </w:rPr>
              <w:t xml:space="preserve"> I </w:t>
            </w:r>
            <w:proofErr w:type="spellStart"/>
            <w:r>
              <w:rPr>
                <w:color w:val="auto"/>
              </w:rPr>
              <w:t>pusmetį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(</w:t>
            </w:r>
            <w:proofErr w:type="spellStart"/>
            <w:proofErr w:type="gramStart"/>
            <w:r>
              <w:rPr>
                <w:color w:val="auto"/>
              </w:rPr>
              <w:t>ats</w:t>
            </w:r>
            <w:proofErr w:type="spellEnd"/>
            <w:proofErr w:type="gram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paž</w:t>
            </w:r>
            <w:proofErr w:type="spellEnd"/>
            <w:r>
              <w:rPr>
                <w:color w:val="auto"/>
              </w:rPr>
              <w:t>. + 6):2</w:t>
            </w:r>
          </w:p>
        </w:tc>
      </w:tr>
      <w:tr w:rsidR="008B38F2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gramStart"/>
            <w:r>
              <w:rPr>
                <w:color w:val="auto"/>
              </w:rPr>
              <w:t>neat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gramStart"/>
            <w:r>
              <w:rPr>
                <w:color w:val="auto"/>
              </w:rPr>
              <w:t>neat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spellStart"/>
            <w:r>
              <w:rPr>
                <w:color w:val="auto"/>
              </w:rPr>
              <w:t>atsiskaitoma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pažymiui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už</w:t>
            </w:r>
            <w:proofErr w:type="spellEnd"/>
            <w:r>
              <w:rPr>
                <w:color w:val="auto"/>
              </w:rPr>
              <w:t xml:space="preserve"> II </w:t>
            </w:r>
            <w:proofErr w:type="spellStart"/>
            <w:r>
              <w:rPr>
                <w:color w:val="auto"/>
              </w:rPr>
              <w:t>pusmetį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 xml:space="preserve">(6 + </w:t>
            </w:r>
            <w:proofErr w:type="spellStart"/>
            <w:r>
              <w:rPr>
                <w:color w:val="auto"/>
              </w:rPr>
              <w:t>ats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paž</w:t>
            </w:r>
            <w:proofErr w:type="spellEnd"/>
            <w:r>
              <w:rPr>
                <w:color w:val="auto"/>
              </w:rPr>
              <w:t>.):2</w:t>
            </w:r>
          </w:p>
        </w:tc>
      </w:tr>
      <w:tr w:rsidR="008B38F2" w:rsidTr="00C94DF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gramStart"/>
            <w:r>
              <w:rPr>
                <w:color w:val="auto"/>
              </w:rPr>
              <w:t>neat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gramStart"/>
            <w:r>
              <w:rPr>
                <w:color w:val="auto"/>
              </w:rPr>
              <w:t>neat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gramStart"/>
            <w:r>
              <w:rPr>
                <w:color w:val="auto"/>
              </w:rPr>
              <w:t>neat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proofErr w:type="spellStart"/>
            <w:r>
              <w:rPr>
                <w:color w:val="auto"/>
              </w:rPr>
              <w:t>atsiskaitoma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pažymiui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už</w:t>
            </w:r>
            <w:proofErr w:type="spellEnd"/>
            <w:r>
              <w:rPr>
                <w:color w:val="auto"/>
              </w:rPr>
              <w:t xml:space="preserve"> I </w:t>
            </w:r>
            <w:proofErr w:type="spellStart"/>
            <w:r>
              <w:rPr>
                <w:color w:val="auto"/>
              </w:rPr>
              <w:t>ir</w:t>
            </w:r>
            <w:proofErr w:type="spellEnd"/>
            <w:r>
              <w:rPr>
                <w:color w:val="auto"/>
              </w:rPr>
              <w:t xml:space="preserve"> II </w:t>
            </w:r>
            <w:proofErr w:type="spellStart"/>
            <w:r>
              <w:rPr>
                <w:color w:val="auto"/>
              </w:rPr>
              <w:t>pusmetį</w:t>
            </w:r>
            <w:proofErr w:type="spellEnd"/>
            <w:r>
              <w:rPr>
                <w:color w:val="auto"/>
              </w:rPr>
              <w:t>;</w:t>
            </w:r>
          </w:p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F2" w:rsidRDefault="008B38F2" w:rsidP="00C94DF8">
            <w:pPr>
              <w:pStyle w:val="Default"/>
              <w:rPr>
                <w:color w:val="auto"/>
                <w:lang w:val="lt-LT" w:eastAsia="lt-LT"/>
              </w:rPr>
            </w:pPr>
            <w:r>
              <w:rPr>
                <w:color w:val="auto"/>
              </w:rPr>
              <w:t>(</w:t>
            </w:r>
            <w:proofErr w:type="spellStart"/>
            <w:proofErr w:type="gramStart"/>
            <w:r>
              <w:rPr>
                <w:color w:val="auto"/>
              </w:rPr>
              <w:t>ats</w:t>
            </w:r>
            <w:proofErr w:type="spellEnd"/>
            <w:proofErr w:type="gram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paž</w:t>
            </w:r>
            <w:proofErr w:type="spellEnd"/>
            <w:r>
              <w:rPr>
                <w:color w:val="auto"/>
              </w:rPr>
              <w:t xml:space="preserve">. +. </w:t>
            </w:r>
            <w:proofErr w:type="spellStart"/>
            <w:proofErr w:type="gramStart"/>
            <w:r>
              <w:rPr>
                <w:color w:val="auto"/>
              </w:rPr>
              <w:t>ats</w:t>
            </w:r>
            <w:proofErr w:type="spellEnd"/>
            <w:proofErr w:type="gramEnd"/>
            <w:r>
              <w:rPr>
                <w:color w:val="auto"/>
              </w:rPr>
              <w:t xml:space="preserve">. </w:t>
            </w:r>
            <w:proofErr w:type="spellStart"/>
            <w:proofErr w:type="gramStart"/>
            <w:r>
              <w:rPr>
                <w:color w:val="auto"/>
              </w:rPr>
              <w:t>paž</w:t>
            </w:r>
            <w:proofErr w:type="spellEnd"/>
            <w:proofErr w:type="gramEnd"/>
            <w:r>
              <w:rPr>
                <w:color w:val="auto"/>
              </w:rPr>
              <w:t>. ):2</w:t>
            </w:r>
          </w:p>
        </w:tc>
      </w:tr>
    </w:tbl>
    <w:p w:rsidR="008B38F2" w:rsidRDefault="008B38F2" w:rsidP="008B38F2">
      <w:pPr>
        <w:ind w:firstLine="1296"/>
        <w:rPr>
          <w:b/>
          <w:bCs/>
          <w:lang w:val="en-US"/>
        </w:rPr>
      </w:pPr>
    </w:p>
    <w:p w:rsidR="008B38F2" w:rsidRDefault="008B38F2" w:rsidP="008B38F2">
      <w:pPr>
        <w:ind w:firstLine="1296"/>
        <w:rPr>
          <w:b/>
          <w:bCs/>
          <w:lang w:val="en-US"/>
        </w:rPr>
      </w:pPr>
      <w:proofErr w:type="spellStart"/>
      <w:r w:rsidRPr="00B42F43">
        <w:rPr>
          <w:b/>
          <w:bCs/>
          <w:lang w:val="en-US"/>
        </w:rPr>
        <w:t>Vertinama</w:t>
      </w:r>
      <w:proofErr w:type="spellEnd"/>
      <w:r w:rsidRPr="00B42F43">
        <w:rPr>
          <w:b/>
          <w:bCs/>
          <w:lang w:val="en-US"/>
        </w:rPr>
        <w:t xml:space="preserve"> </w:t>
      </w:r>
      <w:proofErr w:type="spellStart"/>
      <w:r w:rsidRPr="00B42F43">
        <w:rPr>
          <w:b/>
          <w:bCs/>
          <w:lang w:val="en-US"/>
        </w:rPr>
        <w:t>įskaita</w:t>
      </w:r>
      <w:proofErr w:type="spellEnd"/>
    </w:p>
    <w:p w:rsidR="008D5D0C" w:rsidRPr="00B42F43" w:rsidRDefault="008D5D0C" w:rsidP="008B38F2">
      <w:pPr>
        <w:ind w:firstLine="1296"/>
        <w:rPr>
          <w:b/>
          <w:bCs/>
          <w:lang w:val="en-US"/>
        </w:rPr>
      </w:pP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695"/>
        <w:gridCol w:w="1870"/>
        <w:gridCol w:w="3119"/>
      </w:tblGrid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I pusmetis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II pusmetis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Metinis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Papildomas darbas-metinis vertinimas</w:t>
            </w:r>
          </w:p>
        </w:tc>
      </w:tr>
      <w:tr w:rsidR="008B38F2" w:rsidTr="00C94DF8">
        <w:trPr>
          <w:trHeight w:val="612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Įskaityta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Įskaityta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Įskaityta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</w:tr>
      <w:tr w:rsidR="008B38F2" w:rsidTr="00C94DF8">
        <w:trPr>
          <w:trHeight w:val="556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Neįskaityta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Įskaityta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Neįskaityta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Įskaita už I pusmetį</w:t>
            </w:r>
          </w:p>
        </w:tc>
      </w:tr>
      <w:tr w:rsidR="008B38F2" w:rsidTr="00C94DF8">
        <w:trPr>
          <w:trHeight w:val="807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Įskaityta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Neįskaityta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Neįskaityta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Įskaita už II pusmetį</w:t>
            </w:r>
          </w:p>
        </w:tc>
      </w:tr>
      <w:tr w:rsidR="008B38F2" w:rsidTr="00C94DF8">
        <w:trPr>
          <w:trHeight w:val="807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Neįskaityta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Neįskaityta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Neįskaityta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Įskaita už I ir II pusmečius</w:t>
            </w:r>
          </w:p>
        </w:tc>
      </w:tr>
      <w:tr w:rsidR="008B38F2" w:rsidTr="00C94DF8">
        <w:trPr>
          <w:trHeight w:val="807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Neatestuota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Įskaityta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Neatestuota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rPr>
                <w:rStyle w:val="Emfaz"/>
                <w:i w:val="0"/>
              </w:rPr>
              <w:t>Įskaita už I pusmetį</w:t>
            </w:r>
          </w:p>
        </w:tc>
      </w:tr>
      <w:tr w:rsidR="008B38F2" w:rsidTr="00C94DF8">
        <w:trPr>
          <w:trHeight w:val="807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Įskaityta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Neatestuota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Neatestuota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rStyle w:val="Emfaz"/>
                <w:i w:val="0"/>
                <w:lang w:eastAsia="lt-LT"/>
              </w:rPr>
            </w:pPr>
            <w:r>
              <w:rPr>
                <w:rStyle w:val="Emfaz"/>
                <w:i w:val="0"/>
              </w:rPr>
              <w:t>Įskaita už II pusmetį</w:t>
            </w:r>
          </w:p>
        </w:tc>
      </w:tr>
      <w:tr w:rsidR="008B38F2" w:rsidTr="00C94DF8">
        <w:trPr>
          <w:trHeight w:val="807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Neatestuota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Neatestuota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Neatestuota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Įskaita už I ir II pusmečius</w:t>
            </w:r>
          </w:p>
        </w:tc>
      </w:tr>
    </w:tbl>
    <w:p w:rsidR="008B38F2" w:rsidRDefault="008B38F2" w:rsidP="008B38F2">
      <w:pPr>
        <w:ind w:firstLine="1296"/>
        <w:rPr>
          <w:b/>
          <w:bCs/>
          <w:color w:val="FF0000"/>
          <w:lang w:val="en-US"/>
        </w:rPr>
      </w:pPr>
    </w:p>
    <w:p w:rsidR="008B38F2" w:rsidRPr="00B42F43" w:rsidRDefault="008B38F2" w:rsidP="008B38F2">
      <w:pPr>
        <w:ind w:firstLine="1296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Vertinima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</w:t>
      </w:r>
      <w:r w:rsidRPr="00B42F43">
        <w:rPr>
          <w:b/>
          <w:bCs/>
          <w:lang w:val="en-US"/>
        </w:rPr>
        <w:t>ūno</w:t>
      </w:r>
      <w:proofErr w:type="spellEnd"/>
      <w:r w:rsidRPr="00B42F43">
        <w:rPr>
          <w:b/>
          <w:bCs/>
          <w:lang w:val="en-US"/>
        </w:rPr>
        <w:t xml:space="preserve"> </w:t>
      </w:r>
      <w:proofErr w:type="spellStart"/>
      <w:r w:rsidRPr="00B42F43">
        <w:rPr>
          <w:b/>
          <w:bCs/>
          <w:lang w:val="en-US"/>
        </w:rPr>
        <w:t>kultūros</w:t>
      </w:r>
      <w:proofErr w:type="spellEnd"/>
      <w:r w:rsidRPr="00B42F43">
        <w:rPr>
          <w:b/>
          <w:bCs/>
          <w:lang w:val="en-US"/>
        </w:rPr>
        <w:t xml:space="preserve"> </w:t>
      </w:r>
      <w:proofErr w:type="spellStart"/>
      <w:r w:rsidRPr="00B42F43">
        <w:rPr>
          <w:b/>
          <w:bCs/>
          <w:lang w:val="en-US"/>
        </w:rPr>
        <w:t>pamokose</w:t>
      </w:r>
      <w:proofErr w:type="spellEnd"/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425"/>
        <w:gridCol w:w="2415"/>
      </w:tblGrid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I pusmetis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II pusmetis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Metinis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Atsiskaitymas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Metinis (vidurkis)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atl.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atl.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atl.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Atsiskaitoma pažymiui už II pusmetį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II pusmečio pažymys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atl.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Atsiskaitoma pažymiui už I pusmetį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I pusmečio pažymys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įsk. (spec. gr.)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įsk. (spec. gr.)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-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įsk. (spec. gr.)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įsk. (spec. gr.)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color w:val="FF0000"/>
                <w:lang w:eastAsia="lt-LT"/>
              </w:rPr>
            </w:pPr>
            <w:r>
              <w:t>įsk. (spec. gr.)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F2" w:rsidRDefault="008B38F2" w:rsidP="00C94DF8">
            <w:pPr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8F2" w:rsidRDefault="008B38F2" w:rsidP="00C94DF8">
            <w:pPr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Atsiskaitoma pažymiui už II pusmetį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(6 +ats. paž.) : 2</w:t>
            </w:r>
          </w:p>
        </w:tc>
      </w:tr>
      <w:tr w:rsidR="008B38F2" w:rsidTr="00C94DF8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neat. (pažymys nevedamas)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Atsiskaitoma pažymiui už I pusmetį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8F2" w:rsidRDefault="008B38F2" w:rsidP="00C94DF8">
            <w:pPr>
              <w:rPr>
                <w:lang w:eastAsia="lt-LT"/>
              </w:rPr>
            </w:pPr>
            <w:r>
              <w:t>(ats. paž.+ 6) : 2</w:t>
            </w:r>
          </w:p>
        </w:tc>
      </w:tr>
    </w:tbl>
    <w:p w:rsidR="008B38F2" w:rsidRDefault="008B38F2" w:rsidP="008B38F2">
      <w:pPr>
        <w:ind w:firstLine="1296"/>
        <w:rPr>
          <w:b/>
          <w:bCs/>
          <w:color w:val="000000"/>
          <w:lang w:val="en-US"/>
        </w:rPr>
      </w:pPr>
    </w:p>
    <w:p w:rsidR="008B38F2" w:rsidRDefault="008B38F2" w:rsidP="008B38F2">
      <w:pPr>
        <w:rPr>
          <w:lang w:val="en-US"/>
        </w:rPr>
      </w:pPr>
    </w:p>
    <w:p w:rsidR="008B38F2" w:rsidRDefault="008B38F2" w:rsidP="008B38F2">
      <w:pPr>
        <w:tabs>
          <w:tab w:val="left" w:pos="1247"/>
        </w:tabs>
        <w:jc w:val="both"/>
      </w:pPr>
    </w:p>
    <w:p w:rsidR="008B38F2" w:rsidRDefault="008B38F2" w:rsidP="008B38F2">
      <w:pPr>
        <w:tabs>
          <w:tab w:val="left" w:pos="1247"/>
        </w:tabs>
        <w:ind w:left="710" w:hanging="710"/>
        <w:jc w:val="both"/>
      </w:pPr>
    </w:p>
    <w:p w:rsidR="008B38F2" w:rsidRDefault="008B38F2" w:rsidP="00184CC8">
      <w:r>
        <w:t>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Zotikas Popovas</w:t>
      </w:r>
      <w:bookmarkStart w:id="0" w:name="_GoBack"/>
      <w:bookmarkEnd w:id="0"/>
    </w:p>
    <w:sectPr w:rsidR="008B38F2" w:rsidSect="008D5D0C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CBE"/>
    <w:multiLevelType w:val="hybridMultilevel"/>
    <w:tmpl w:val="17740D24"/>
    <w:lvl w:ilvl="0" w:tplc="608EC042">
      <w:start w:val="1"/>
      <w:numFmt w:val="decimal"/>
      <w:lvlText w:val="%1."/>
      <w:lvlJc w:val="left"/>
      <w:pPr>
        <w:ind w:left="110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5B290F23"/>
    <w:multiLevelType w:val="multilevel"/>
    <w:tmpl w:val="B40CC53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2">
    <w:nsid w:val="7DA319FD"/>
    <w:multiLevelType w:val="hybridMultilevel"/>
    <w:tmpl w:val="090C7AD4"/>
    <w:lvl w:ilvl="0" w:tplc="5A00392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C8"/>
    <w:rsid w:val="0002412B"/>
    <w:rsid w:val="00156265"/>
    <w:rsid w:val="00184CC8"/>
    <w:rsid w:val="00190266"/>
    <w:rsid w:val="0019693C"/>
    <w:rsid w:val="001C086E"/>
    <w:rsid w:val="001C2B95"/>
    <w:rsid w:val="00491876"/>
    <w:rsid w:val="005B6A15"/>
    <w:rsid w:val="00701CAA"/>
    <w:rsid w:val="0071614B"/>
    <w:rsid w:val="00735C4A"/>
    <w:rsid w:val="007600B5"/>
    <w:rsid w:val="008321A8"/>
    <w:rsid w:val="0085749B"/>
    <w:rsid w:val="00883A1C"/>
    <w:rsid w:val="008B38F2"/>
    <w:rsid w:val="008D5D0C"/>
    <w:rsid w:val="008E4A35"/>
    <w:rsid w:val="00933C60"/>
    <w:rsid w:val="00940BFF"/>
    <w:rsid w:val="00A6701A"/>
    <w:rsid w:val="00A714C9"/>
    <w:rsid w:val="00BE71B7"/>
    <w:rsid w:val="00C24677"/>
    <w:rsid w:val="00CF18FD"/>
    <w:rsid w:val="00D64607"/>
    <w:rsid w:val="00F660C6"/>
    <w:rsid w:val="00FA77F6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184CC8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184CC8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24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4CC8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184CC8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C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CC8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241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customStyle="1" w:styleId="Default">
    <w:name w:val="Default"/>
    <w:rsid w:val="0002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01CAA"/>
    <w:pPr>
      <w:ind w:left="720"/>
      <w:contextualSpacing/>
    </w:pPr>
  </w:style>
  <w:style w:type="character" w:styleId="Emfaz">
    <w:name w:val="Emphasis"/>
    <w:basedOn w:val="Numatytasispastraiposriftas"/>
    <w:qFormat/>
    <w:rsid w:val="008B3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184CC8"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qFormat/>
    <w:rsid w:val="00184CC8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241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4CC8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184CC8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C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CC8"/>
    <w:rPr>
      <w:rFonts w:ascii="Tahoma" w:eastAsia="Times New Roman" w:hAnsi="Tahoma" w:cs="Tahoma"/>
      <w:sz w:val="16"/>
      <w:szCs w:val="16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241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/>
    </w:rPr>
  </w:style>
  <w:style w:type="paragraph" w:customStyle="1" w:styleId="Default">
    <w:name w:val="Default"/>
    <w:rsid w:val="0002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01CAA"/>
    <w:pPr>
      <w:ind w:left="720"/>
      <w:contextualSpacing/>
    </w:pPr>
  </w:style>
  <w:style w:type="character" w:styleId="Emfaz">
    <w:name w:val="Emphasis"/>
    <w:basedOn w:val="Numatytasispastraiposriftas"/>
    <w:qFormat/>
    <w:rsid w:val="008B3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Irena</cp:lastModifiedBy>
  <cp:revision>3</cp:revision>
  <cp:lastPrinted>2016-05-31T11:44:00Z</cp:lastPrinted>
  <dcterms:created xsi:type="dcterms:W3CDTF">2016-06-07T13:53:00Z</dcterms:created>
  <dcterms:modified xsi:type="dcterms:W3CDTF">2016-06-07T13:56:00Z</dcterms:modified>
</cp:coreProperties>
</file>